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1320" w:firstLineChars="300"/>
        <w:rPr>
          <w:rFonts w:hint="eastAsia" w:ascii="黑体" w:eastAsia="黑体"/>
          <w:sz w:val="44"/>
          <w:szCs w:val="44"/>
          <w:lang w:eastAsia="zh-CN"/>
        </w:rPr>
      </w:pPr>
      <w:r>
        <w:rPr>
          <w:rFonts w:hint="eastAsia" w:ascii="黑体" w:eastAsia="黑体"/>
          <w:sz w:val="44"/>
          <w:szCs w:val="44"/>
          <w:lang w:eastAsia="zh-CN"/>
        </w:rPr>
        <w:t>专项</w:t>
      </w:r>
      <w:r>
        <w:rPr>
          <w:rFonts w:hint="eastAsia" w:ascii="黑体" w:eastAsia="黑体"/>
          <w:sz w:val="44"/>
          <w:szCs w:val="44"/>
        </w:rPr>
        <w:t>资金绩效评价报告</w:t>
      </w:r>
      <w:r>
        <w:rPr>
          <w:rFonts w:hint="eastAsia" w:ascii="黑体" w:eastAsia="黑体"/>
          <w:sz w:val="44"/>
          <w:szCs w:val="44"/>
          <w:lang w:eastAsia="zh-CN"/>
        </w:rPr>
        <w:t>（项目</w:t>
      </w:r>
      <w:r>
        <w:rPr>
          <w:rFonts w:hint="eastAsia" w:ascii="黑体" w:eastAsia="黑体"/>
          <w:sz w:val="44"/>
          <w:szCs w:val="44"/>
          <w:lang w:val="en-US" w:eastAsia="zh-CN"/>
        </w:rPr>
        <w:t>3</w:t>
      </w:r>
      <w:r>
        <w:rPr>
          <w:rFonts w:hint="eastAsia" w:ascii="黑体" w:eastAsia="黑体"/>
          <w:sz w:val="44"/>
          <w:szCs w:val="44"/>
          <w:lang w:eastAsia="zh-CN"/>
        </w:rPr>
        <w:t>）</w:t>
      </w:r>
    </w:p>
    <w:p>
      <w:pPr>
        <w:pStyle w:val="8"/>
        <w:spacing w:line="360" w:lineRule="auto"/>
        <w:ind w:firstLine="1320" w:firstLineChars="300"/>
        <w:rPr>
          <w:rFonts w:hint="eastAsia" w:ascii="黑体" w:eastAsia="黑体"/>
          <w:sz w:val="44"/>
          <w:szCs w:val="44"/>
        </w:rPr>
      </w:pP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一、项目基本情况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（一）项目概况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1、项目单位基本情况</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芷江侗族自治县城市管理和综合执法局于2019年3月31日挂牌成立，为正科级行政单位。内设办公室、政策法规和行政审批股、人事股、公用事业管理股、市政工程管理股五个股室；下辖副科级城市管理综合行政执法大队和城市管理事务中心两个二级机构。负责在城市管理领域内开展相对集中行政处罚权工作，具体负责行使市容环境卫生、城市规划、园林绿化、市政、环境保护、公共管理、工商、河道、公安交通等方面的全部或部分行政处罚权。目前，县城管系统总编制数169个，实有正式在编在岗人员147人（行政5人，城管管理行政大队77人，城市管理事务中心59人，桥管所6人），临聘人员48人（协管32人，消防16人）。</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w:t>
      </w:r>
      <w:r>
        <w:rPr>
          <w:rFonts w:hint="eastAsia" w:ascii="仿宋" w:hAnsi="仿宋" w:eastAsia="仿宋" w:cs="仿宋"/>
          <w:i w:val="0"/>
          <w:iCs w:val="0"/>
          <w:caps w:val="0"/>
          <w:color w:val="333333"/>
          <w:spacing w:val="0"/>
          <w:kern w:val="0"/>
          <w:sz w:val="28"/>
          <w:szCs w:val="28"/>
          <w:lang w:val="zh-CN" w:eastAsia="zh-CN" w:bidi="ar"/>
        </w:rPr>
        <w:t>项目的实施依据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根据2019年（芷府阅【2019】10号）《关于我县餐厨垃圾处置有关情况的会议纪要》的精神，将餐厨垃圾收集、处置项目资金纳入年初预算以实施保障城区餐厨垃圾收集、运输、处置等工作。</w:t>
      </w:r>
    </w:p>
    <w:p>
      <w:pPr>
        <w:pStyle w:val="8"/>
        <w:numPr>
          <w:ilvl w:val="0"/>
          <w:numId w:val="1"/>
        </w:numPr>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项目基本性质、用途和主要内容、涉及范围</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餐厨垃圾收集、处置项目的</w:t>
      </w:r>
      <w:r>
        <w:rPr>
          <w:rFonts w:hint="eastAsia" w:ascii="仿宋" w:hAnsi="仿宋" w:eastAsia="仿宋" w:cs="仿宋"/>
          <w:i w:val="0"/>
          <w:iCs w:val="0"/>
          <w:caps w:val="0"/>
          <w:color w:val="333333"/>
          <w:spacing w:val="0"/>
          <w:kern w:val="0"/>
          <w:sz w:val="28"/>
          <w:szCs w:val="28"/>
          <w:lang w:val="zh-CN" w:eastAsia="zh-CN" w:bidi="ar"/>
        </w:rPr>
        <w:t>基本性质</w:t>
      </w:r>
      <w:r>
        <w:rPr>
          <w:rFonts w:hint="eastAsia" w:ascii="仿宋" w:hAnsi="仿宋" w:eastAsia="仿宋" w:cs="仿宋"/>
          <w:i w:val="0"/>
          <w:iCs w:val="0"/>
          <w:caps w:val="0"/>
          <w:color w:val="333333"/>
          <w:spacing w:val="0"/>
          <w:kern w:val="0"/>
          <w:sz w:val="28"/>
          <w:szCs w:val="28"/>
          <w:lang w:val="en-US" w:eastAsia="zh-CN" w:bidi="ar"/>
        </w:rPr>
        <w:t>为行政事业类项目，主要</w:t>
      </w:r>
      <w:r>
        <w:rPr>
          <w:rFonts w:hint="eastAsia" w:ascii="仿宋" w:hAnsi="仿宋" w:eastAsia="仿宋" w:cs="仿宋"/>
          <w:i w:val="0"/>
          <w:iCs w:val="0"/>
          <w:caps w:val="0"/>
          <w:color w:val="333333"/>
          <w:spacing w:val="0"/>
          <w:kern w:val="0"/>
          <w:sz w:val="28"/>
          <w:szCs w:val="28"/>
          <w:lang w:val="zh-CN" w:eastAsia="zh-CN" w:bidi="ar"/>
        </w:rPr>
        <w:t>用于对城区学校、宾馆、酒店、医院、单位食堂（含工地食堂）以及各类餐饮业所有产生的餐厨剩余物每天进行集中收集及运输，聘请收集人员18人，分离人员6人，残渣运输人员2人，做到了每天收集到位、分离到位、处置到位，并对各收集单位和门店发放备案卡，单位建立相关台账，每周向市里上报我县的收集及处置情况。</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（二）项目绩效目标</w:t>
      </w:r>
    </w:p>
    <w:p>
      <w:pPr>
        <w:pStyle w:val="8"/>
        <w:spacing w:line="240" w:lineRule="auto"/>
        <w:ind w:firstLine="64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、项目绩效总目标和阶段性目标</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实施保障城区餐厨垃圾收集、运输、处置等工作</w:t>
      </w:r>
    </w:p>
    <w:p>
      <w:pPr>
        <w:pStyle w:val="8"/>
        <w:spacing w:line="240" w:lineRule="auto"/>
        <w:ind w:firstLine="560" w:firstLineChars="200"/>
        <w:jc w:val="both"/>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2、预期主要的生态、社会和经济效益</w:t>
      </w:r>
    </w:p>
    <w:p>
      <w:pPr>
        <w:pStyle w:val="8"/>
        <w:spacing w:line="240" w:lineRule="auto"/>
        <w:ind w:firstLine="560" w:firstLineChars="200"/>
        <w:jc w:val="both"/>
        <w:rPr>
          <w:rFonts w:hint="default" w:ascii="仿宋" w:eastAsia="仿宋"/>
          <w:sz w:val="32"/>
          <w:szCs w:val="32"/>
          <w:lang w:val="en-US"/>
        </w:rPr>
      </w:pPr>
      <w:r>
        <w:rPr>
          <w:rFonts w:hint="eastAsia" w:ascii="仿宋" w:hAnsi="仿宋" w:eastAsia="仿宋" w:cs="仿宋"/>
          <w:i w:val="0"/>
          <w:iCs w:val="0"/>
          <w:caps w:val="0"/>
          <w:color w:val="333333"/>
          <w:spacing w:val="0"/>
          <w:kern w:val="0"/>
          <w:sz w:val="28"/>
          <w:szCs w:val="28"/>
          <w:lang w:val="en-US" w:eastAsia="zh-CN" w:bidi="ar"/>
        </w:rPr>
        <w:t>餐厨垃圾收集、处置项目预期的经济效益是节约成本有所提高，其预期生态效益和社会效益均为维护城市环境卫生，并使其到达好评。</w:t>
      </w:r>
    </w:p>
    <w:p>
      <w:pPr>
        <w:pStyle w:val="8"/>
        <w:spacing w:line="240" w:lineRule="auto"/>
        <w:ind w:firstLine="643" w:firstLineChars="200"/>
        <w:rPr>
          <w:rFonts w:hint="eastAsia" w:ascii="楷体" w:eastAsia="楷体"/>
          <w:b/>
          <w:sz w:val="32"/>
          <w:szCs w:val="32"/>
        </w:rPr>
      </w:pPr>
      <w:r>
        <w:rPr>
          <w:rFonts w:hint="eastAsia" w:ascii="楷体" w:eastAsia="楷体"/>
          <w:b/>
          <w:sz w:val="32"/>
          <w:szCs w:val="32"/>
        </w:rPr>
        <w:t>二、绩效评价工作情况</w:t>
      </w:r>
    </w:p>
    <w:p>
      <w:p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为使餐厨垃圾收集、处置项目资金能做到专款专用，并能合理运用资金，杜绝挪用、挤占、截留项目资金，本单位监督部门全程项目管理工作，使项目管理工作更具有合理性、规范性、效益性、真实性。相关部门建立了相应的合法、合规、完整的业务管理制度，项目资金管理办法，为了保障资金的安全、规范运行成立了纪检监察小组，明确相关职责，各部门根据工作业务流程进行协同推进项目管理工作，圆满完成了项目绩效工作。</w:t>
      </w:r>
    </w:p>
    <w:p>
      <w:pPr>
        <w:pStyle w:val="8"/>
        <w:spacing w:line="240" w:lineRule="auto"/>
        <w:ind w:firstLine="643" w:firstLineChars="200"/>
        <w:rPr>
          <w:rFonts w:hint="eastAsia" w:ascii="楷体" w:hAnsi="楷体" w:eastAsia="楷体" w:cs="楷体"/>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三、绩效评价指标分析情况</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（一）项目资金情况分析</w:t>
      </w:r>
    </w:p>
    <w:p>
      <w:pPr>
        <w:pStyle w:val="8"/>
        <w:spacing w:line="360" w:lineRule="auto"/>
        <w:ind w:firstLine="64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eastAsia="仿宋"/>
          <w:sz w:val="32"/>
          <w:szCs w:val="32"/>
        </w:rPr>
        <w:t>1</w:t>
      </w:r>
      <w:r>
        <w:rPr>
          <w:rFonts w:hint="eastAsia" w:ascii="仿宋" w:hAnsi="仿宋" w:eastAsia="仿宋" w:cs="仿宋"/>
          <w:i w:val="0"/>
          <w:iCs w:val="0"/>
          <w:caps w:val="0"/>
          <w:color w:val="333333"/>
          <w:spacing w:val="0"/>
          <w:kern w:val="0"/>
          <w:sz w:val="28"/>
          <w:szCs w:val="28"/>
          <w:lang w:val="en-US" w:eastAsia="zh-CN" w:bidi="ar"/>
        </w:rPr>
        <w:t>、项目资金到位情况分析</w:t>
      </w:r>
      <w:bookmarkStart w:id="0" w:name="_GoBack"/>
      <w:bookmarkEnd w:id="0"/>
    </w:p>
    <w:p>
      <w:pPr>
        <w:pStyle w:val="8"/>
        <w:spacing w:line="360" w:lineRule="auto"/>
        <w:ind w:firstLine="560" w:firstLineChars="20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2021年财政专项餐厨垃圾收集、处置项目资金到位189万元，全部为财政年初预算项目资金。</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项目资金使用情况分析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自年初预算项目资金下达以来，所有资金都已经全部及时安排到位，并按项目要求和进度全部落实到位。截止到2021年末实际总支出为126.41万元，结余62.59万元，未超出预算，在节约开支上有所提高。</w:t>
      </w:r>
    </w:p>
    <w:p>
      <w:pPr>
        <w:pStyle w:val="8"/>
        <w:numPr>
          <w:ilvl w:val="0"/>
          <w:numId w:val="2"/>
        </w:numPr>
        <w:spacing w:line="360" w:lineRule="auto"/>
        <w:ind w:left="-10" w:leftChars="0" w:firstLine="640" w:firstLineChars="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项目资金管理情况分析</w:t>
      </w:r>
    </w:p>
    <w:p>
      <w:pPr>
        <w:widowControl/>
        <w:ind w:firstLine="560" w:firstLineChars="200"/>
        <w:jc w:val="left"/>
        <w:rPr>
          <w:rFonts w:hint="default"/>
          <w:lang w:val="en-US" w:eastAsia="zh-CN"/>
        </w:rPr>
      </w:pPr>
      <w:r>
        <w:rPr>
          <w:rFonts w:hint="eastAsia" w:ascii="仿宋" w:hAnsi="仿宋" w:eastAsia="仿宋" w:cs="仿宋"/>
          <w:i w:val="0"/>
          <w:iCs w:val="0"/>
          <w:caps w:val="0"/>
          <w:color w:val="333333"/>
          <w:spacing w:val="0"/>
          <w:kern w:val="0"/>
          <w:sz w:val="28"/>
          <w:szCs w:val="28"/>
          <w:lang w:val="en-US" w:eastAsia="zh-CN" w:bidi="ar"/>
        </w:rPr>
        <w:t>严格按照相关业务管理制度，规范各项经费的开支。资金使用规范，符合国家财政法规和财务管理以及有关专项资金管理办法的规定；资金的拨付有完整的审批程序和手续；不存在截留、挤占、挪用、虚列支出等情况。保障会计核算准确、财务资料完整。</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（二）项目实施情况分析</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经县领导批示将餐厨垃圾收集、处置项目资金纳入本年度财政预算，县财政预算部门一次性下达全年度项目指标，项目经费需</w:t>
      </w:r>
      <w:r>
        <w:rPr>
          <w:rFonts w:hint="eastAsia" w:ascii="仿宋" w:hAnsi="仿宋" w:eastAsia="仿宋" w:cs="仿宋"/>
          <w:i w:val="0"/>
          <w:iCs w:val="0"/>
          <w:caps w:val="0"/>
          <w:color w:val="333333"/>
          <w:spacing w:val="0"/>
          <w:kern w:val="0"/>
          <w:sz w:val="28"/>
          <w:szCs w:val="28"/>
          <w:lang w:val="zh-CN" w:eastAsia="zh-CN" w:bidi="ar"/>
        </w:rPr>
        <w:t>经城市管理事务中心考核后依据政府采购合同内容进行支出，</w:t>
      </w:r>
      <w:r>
        <w:rPr>
          <w:rFonts w:hint="eastAsia" w:ascii="仿宋" w:hAnsi="仿宋" w:eastAsia="仿宋" w:cs="仿宋"/>
          <w:i w:val="0"/>
          <w:iCs w:val="0"/>
          <w:caps w:val="0"/>
          <w:color w:val="333333"/>
          <w:spacing w:val="0"/>
          <w:kern w:val="0"/>
          <w:sz w:val="28"/>
          <w:szCs w:val="28"/>
          <w:lang w:val="en-US" w:eastAsia="zh-CN" w:bidi="ar"/>
        </w:rPr>
        <w:t>单位资金管理部门根据需要分期分批申报，专项小组审批，单位成立的纪检监察小组对资金的使用进行审核和监督资金的运行全过程。为保证资金使用规范，按要求制定相应的监控机制、组织人员对国家法律法规进行学习，掌握政策严格按照要求开展工作。</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 xml:space="preserve">（三）项目绩效情况分析 </w:t>
      </w:r>
    </w:p>
    <w:p>
      <w:pPr>
        <w:pStyle w:val="8"/>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1、项目经济性分析</w:t>
      </w:r>
    </w:p>
    <w:p>
      <w:pPr>
        <w:widowControl/>
        <w:spacing w:line="240" w:lineRule="auto"/>
        <w:ind w:firstLine="560" w:firstLineChars="200"/>
        <w:jc w:val="left"/>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餐厨垃圾收集、处置项目年初预算189万元，实际支出126.41万元，结余62.59万元，未超出预算，在节约开支上有所提高。</w:t>
      </w:r>
    </w:p>
    <w:p>
      <w:pPr>
        <w:pStyle w:val="8"/>
        <w:numPr>
          <w:ilvl w:val="0"/>
          <w:numId w:val="3"/>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项目的效率性分析</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（1）项目的实施进度</w:t>
      </w:r>
    </w:p>
    <w:p>
      <w:pPr>
        <w:keepNext w:val="0"/>
        <w:keepLines w:val="0"/>
        <w:pageBreakBefore w:val="0"/>
        <w:numPr>
          <w:ilvl w:val="0"/>
          <w:numId w:val="0"/>
        </w:numPr>
        <w:kinsoku/>
        <w:wordWrap/>
        <w:overflowPunct/>
        <w:topLinePunct w:val="0"/>
        <w:autoSpaceDE/>
        <w:autoSpaceDN/>
        <w:bidi w:val="0"/>
        <w:adjustRightInd/>
        <w:spacing w:line="240" w:lineRule="auto"/>
        <w:ind w:firstLine="560" w:firstLineChars="200"/>
        <w:textAlignment w:val="auto"/>
        <w:outlineLvl w:val="0"/>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2021年城市管理事务中心合理安排餐厨垃圾收集、处置项目的相关工作，如期完成对应的工作事项，完成进度100%。</w:t>
      </w:r>
    </w:p>
    <w:p>
      <w:pPr>
        <w:pStyle w:val="9"/>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（2）项目完成质量</w:t>
      </w:r>
    </w:p>
    <w:p>
      <w:pPr>
        <w:pStyle w:val="8"/>
        <w:numPr>
          <w:ilvl w:val="0"/>
          <w:numId w:val="0"/>
        </w:numPr>
        <w:spacing w:line="240" w:lineRule="auto"/>
        <w:ind w:firstLine="560" w:firstLineChars="200"/>
        <w:rPr>
          <w:rFonts w:hint="eastAsia"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我单位较好的完成了餐厨垃圾收集、处置项目2021年年初设定的工作任务，各项项目得到有序开展，到年底项目实施均按进度稳步完成，</w:t>
      </w:r>
      <w:r>
        <w:rPr>
          <w:rFonts w:hint="eastAsia" w:ascii="仿宋" w:hAnsi="仿宋" w:eastAsia="仿宋" w:cs="仿宋"/>
          <w:i w:val="0"/>
          <w:iCs w:val="0"/>
          <w:caps w:val="0"/>
          <w:color w:val="333333"/>
          <w:spacing w:val="0"/>
          <w:kern w:val="0"/>
          <w:sz w:val="28"/>
          <w:szCs w:val="28"/>
          <w:lang w:val="zh-CN" w:eastAsia="zh-CN" w:bidi="ar"/>
        </w:rPr>
        <w:t>项目完成质量</w:t>
      </w:r>
      <w:r>
        <w:rPr>
          <w:rFonts w:hint="eastAsia" w:ascii="仿宋" w:hAnsi="仿宋" w:eastAsia="仿宋" w:cs="仿宋"/>
          <w:i w:val="0"/>
          <w:iCs w:val="0"/>
          <w:caps w:val="0"/>
          <w:color w:val="333333"/>
          <w:spacing w:val="0"/>
          <w:kern w:val="0"/>
          <w:sz w:val="28"/>
          <w:szCs w:val="28"/>
          <w:lang w:val="en-US" w:eastAsia="zh-CN" w:bidi="ar"/>
        </w:rPr>
        <w:t>100%。</w:t>
      </w:r>
    </w:p>
    <w:p>
      <w:pPr>
        <w:pStyle w:val="8"/>
        <w:numPr>
          <w:ilvl w:val="0"/>
          <w:numId w:val="0"/>
        </w:numPr>
        <w:spacing w:line="240" w:lineRule="auto"/>
        <w:ind w:left="420" w:leftChars="200" w:firstLine="251" w:firstLineChars="78"/>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en-US" w:eastAsia="zh-CN" w:bidi="ar"/>
        </w:rPr>
        <w:t>3、</w:t>
      </w:r>
      <w:r>
        <w:rPr>
          <w:rFonts w:hint="eastAsia" w:ascii="楷体" w:hAnsi="楷体" w:eastAsia="楷体" w:cs="楷体"/>
          <w:b/>
          <w:bCs/>
          <w:i w:val="0"/>
          <w:iCs w:val="0"/>
          <w:caps w:val="0"/>
          <w:color w:val="333333"/>
          <w:spacing w:val="0"/>
          <w:kern w:val="0"/>
          <w:sz w:val="32"/>
          <w:szCs w:val="32"/>
          <w:lang w:val="zh-CN" w:eastAsia="zh-CN" w:bidi="ar"/>
        </w:rPr>
        <w:t>项目的效益性分析</w:t>
      </w:r>
    </w:p>
    <w:p>
      <w:pPr>
        <w:pStyle w:val="9"/>
        <w:spacing w:line="240" w:lineRule="auto"/>
        <w:ind w:firstLine="560" w:firstLineChars="200"/>
        <w:jc w:val="both"/>
        <w:rPr>
          <w:rFonts w:hint="default" w:ascii="仿宋" w:hAnsi="仿宋" w:eastAsia="仿宋" w:cs="仿宋"/>
          <w:i w:val="0"/>
          <w:iCs w:val="0"/>
          <w:caps w:val="0"/>
          <w:color w:val="333333"/>
          <w:spacing w:val="0"/>
          <w:kern w:val="0"/>
          <w:sz w:val="28"/>
          <w:szCs w:val="28"/>
          <w:lang w:val="en-US" w:eastAsia="zh-CN" w:bidi="ar"/>
        </w:rPr>
      </w:pPr>
      <w:r>
        <w:rPr>
          <w:rFonts w:hint="eastAsia" w:ascii="仿宋" w:hAnsi="仿宋" w:eastAsia="仿宋" w:cs="仿宋"/>
          <w:i w:val="0"/>
          <w:iCs w:val="0"/>
          <w:caps w:val="0"/>
          <w:color w:val="333333"/>
          <w:spacing w:val="0"/>
          <w:kern w:val="0"/>
          <w:sz w:val="28"/>
          <w:szCs w:val="28"/>
          <w:lang w:val="en-US" w:eastAsia="zh-CN" w:bidi="ar"/>
        </w:rPr>
        <w:t>（1）项目预期目标完成程度：完成度100%。</w:t>
      </w:r>
    </w:p>
    <w:p>
      <w:pPr>
        <w:pStyle w:val="9"/>
        <w:spacing w:line="240" w:lineRule="auto"/>
        <w:ind w:firstLine="560" w:firstLineChars="200"/>
        <w:jc w:val="both"/>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（2）项目实施对经济和社会的影响：项目实施后，</w:t>
      </w:r>
      <w:r>
        <w:rPr>
          <w:rFonts w:hint="eastAsia" w:ascii="仿宋" w:hAnsi="仿宋" w:eastAsia="仿宋" w:cs="仿宋"/>
          <w:i w:val="0"/>
          <w:iCs w:val="0"/>
          <w:caps w:val="0"/>
          <w:color w:val="333333"/>
          <w:spacing w:val="0"/>
          <w:kern w:val="0"/>
          <w:sz w:val="28"/>
          <w:szCs w:val="28"/>
          <w:lang w:val="zh-CN" w:eastAsia="zh-CN" w:bidi="ar"/>
        </w:rPr>
        <w:t>生态环境有所提升、城市容貌有所提升</w:t>
      </w:r>
      <w:r>
        <w:rPr>
          <w:rFonts w:hint="eastAsia" w:ascii="仿宋" w:hAnsi="仿宋" w:eastAsia="仿宋" w:cs="仿宋"/>
          <w:i w:val="0"/>
          <w:iCs w:val="0"/>
          <w:caps w:val="0"/>
          <w:color w:val="333333"/>
          <w:spacing w:val="0"/>
          <w:kern w:val="0"/>
          <w:sz w:val="28"/>
          <w:szCs w:val="28"/>
          <w:lang w:val="en-US" w:eastAsia="zh-CN" w:bidi="ar"/>
        </w:rPr>
        <w:t>，服务对象满意度达90%。</w:t>
      </w:r>
    </w:p>
    <w:p>
      <w:pPr>
        <w:pStyle w:val="8"/>
        <w:numPr>
          <w:ilvl w:val="0"/>
          <w:numId w:val="4"/>
        </w:numPr>
        <w:spacing w:line="240" w:lineRule="auto"/>
        <w:ind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综合评价情况及评价结论（附相关评分表）</w:t>
      </w:r>
    </w:p>
    <w:p>
      <w:pPr>
        <w:pStyle w:val="8"/>
        <w:spacing w:line="240" w:lineRule="auto"/>
        <w:ind w:firstLine="560" w:firstLineChars="200"/>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通过对餐厨垃圾收集、处置项目实施情况考核和评价，根据专项支出绩效评价指标完成情况综合评价，综合评分为90分，评价等级为优。</w:t>
      </w:r>
    </w:p>
    <w:p>
      <w:pPr>
        <w:pStyle w:val="5"/>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leftChars="0" w:right="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绩效评价结果应用建议</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560" w:firstLineChars="200"/>
        <w:jc w:val="both"/>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绩效评价结果已在县人民政府门户网站上公开，接受社会监督，同时将绩效评价结果与预算安排相结合，加大评价结果向社会公开的力度，提高资金使用效率。</w:t>
      </w:r>
    </w:p>
    <w:p>
      <w:pPr>
        <w:pStyle w:val="8"/>
        <w:numPr>
          <w:ilvl w:val="0"/>
          <w:numId w:val="4"/>
        </w:numPr>
        <w:spacing w:line="240" w:lineRule="auto"/>
        <w:ind w:left="0" w:leftChars="0" w:firstLine="643" w:firstLineChars="200"/>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主要经验及做法、存在的问题和建议</w:t>
      </w:r>
    </w:p>
    <w:p>
      <w:pPr>
        <w:pStyle w:val="8"/>
        <w:spacing w:line="240" w:lineRule="auto"/>
        <w:ind w:firstLine="560" w:firstLineChars="200"/>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en-US" w:eastAsia="zh-CN" w:bidi="ar"/>
        </w:rPr>
        <w:t>主要的经验是：项目支出实施先申报后支出，达到政府采购限额严格按照相关要求执行，原则上不新增项目支出，确因工作需要新增的项目支出，需明确资金来源后经局务会讨论再组织实施。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firstLine="560" w:firstLineChars="200"/>
        <w:jc w:val="left"/>
        <w:textAlignment w:val="center"/>
        <w:rPr>
          <w:rFonts w:hint="eastAsia" w:ascii="仿宋" w:hAnsi="仿宋" w:eastAsia="仿宋" w:cs="仿宋"/>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存在的问题有：</w:t>
      </w:r>
      <w:r>
        <w:rPr>
          <w:rFonts w:hint="eastAsia" w:ascii="仿宋" w:hAnsi="仿宋" w:eastAsia="仿宋" w:cs="仿宋"/>
          <w:i w:val="0"/>
          <w:iCs w:val="0"/>
          <w:caps w:val="0"/>
          <w:color w:val="333333"/>
          <w:spacing w:val="0"/>
          <w:kern w:val="0"/>
          <w:sz w:val="28"/>
          <w:szCs w:val="28"/>
          <w:lang w:val="en-US" w:eastAsia="zh-CN" w:bidi="ar"/>
        </w:rPr>
        <w:t>1、</w:t>
      </w:r>
      <w:r>
        <w:rPr>
          <w:rFonts w:hint="eastAsia" w:ascii="仿宋" w:hAnsi="仿宋" w:eastAsia="仿宋" w:cs="仿宋"/>
          <w:i w:val="0"/>
          <w:iCs w:val="0"/>
          <w:caps w:val="0"/>
          <w:color w:val="333333"/>
          <w:spacing w:val="0"/>
          <w:kern w:val="0"/>
          <w:sz w:val="28"/>
          <w:szCs w:val="28"/>
          <w:lang w:val="zh-CN" w:eastAsia="zh-CN" w:bidi="ar"/>
        </w:rPr>
        <w:t>预算编制科学和合理性有待提升。提高预算编制能力，强化预算执行，缩小预算差距。2、强化项目申报和管理。城市管理很多急且任务重的工作，存在未列入项目预算但又急需执行的项目，由于项目申报流程需要及有资金缺口，影响项目执行。</w:t>
      </w:r>
    </w:p>
    <w:p>
      <w:pPr>
        <w:spacing w:line="240" w:lineRule="auto"/>
        <w:rPr>
          <w:rFonts w:hint="eastAsia" w:ascii="仿宋" w:hAnsi="仿宋" w:eastAsia="仿宋" w:cs="仿宋"/>
          <w:b/>
          <w:bCs/>
          <w:i w:val="0"/>
          <w:iCs w:val="0"/>
          <w:caps w:val="0"/>
          <w:color w:val="333333"/>
          <w:spacing w:val="0"/>
          <w:kern w:val="0"/>
          <w:sz w:val="28"/>
          <w:szCs w:val="28"/>
          <w:lang w:val="zh-CN" w:eastAsia="zh-CN" w:bidi="ar"/>
        </w:rPr>
      </w:pPr>
      <w:r>
        <w:rPr>
          <w:rFonts w:hint="eastAsia" w:ascii="仿宋" w:hAnsi="仿宋" w:eastAsia="仿宋" w:cs="仿宋"/>
          <w:i w:val="0"/>
          <w:iCs w:val="0"/>
          <w:caps w:val="0"/>
          <w:color w:val="333333"/>
          <w:spacing w:val="0"/>
          <w:kern w:val="0"/>
          <w:sz w:val="28"/>
          <w:szCs w:val="28"/>
          <w:lang w:val="zh-CN" w:eastAsia="zh-CN" w:bidi="ar"/>
        </w:rPr>
        <w:t>建议为：一是加强预算编制学习；二是保障城市管理项目经费。</w:t>
      </w:r>
    </w:p>
    <w:p>
      <w:pPr>
        <w:pStyle w:val="5"/>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right="0" w:rightChars="0" w:firstLine="643" w:firstLineChars="200"/>
        <w:jc w:val="left"/>
        <w:textAlignment w:val="center"/>
        <w:rPr>
          <w:rFonts w:hint="eastAsia" w:ascii="楷体" w:hAnsi="楷体" w:eastAsia="楷体" w:cs="楷体"/>
          <w:b/>
          <w:bCs/>
          <w:i w:val="0"/>
          <w:iCs w:val="0"/>
          <w:caps w:val="0"/>
          <w:color w:val="333333"/>
          <w:spacing w:val="0"/>
          <w:kern w:val="0"/>
          <w:sz w:val="32"/>
          <w:szCs w:val="32"/>
          <w:lang w:val="zh-CN" w:eastAsia="zh-CN" w:bidi="ar"/>
        </w:rPr>
      </w:pPr>
      <w:r>
        <w:rPr>
          <w:rFonts w:hint="eastAsia" w:ascii="楷体" w:hAnsi="楷体" w:eastAsia="楷体" w:cs="楷体"/>
          <w:b/>
          <w:bCs/>
          <w:i w:val="0"/>
          <w:iCs w:val="0"/>
          <w:caps w:val="0"/>
          <w:color w:val="333333"/>
          <w:spacing w:val="0"/>
          <w:kern w:val="0"/>
          <w:sz w:val="32"/>
          <w:szCs w:val="32"/>
          <w:lang w:val="zh-CN" w:eastAsia="zh-CN" w:bidi="ar"/>
        </w:rPr>
        <w:t>七、其他需要说明的问题</w:t>
      </w:r>
    </w:p>
    <w:p>
      <w:pPr>
        <w:spacing w:line="240" w:lineRule="auto"/>
        <w:rPr>
          <w:rFonts w:hint="eastAsia" w:ascii="仿宋" w:hAnsi="仿宋" w:eastAsia="仿宋" w:cs="仿宋"/>
          <w:i w:val="0"/>
          <w:iCs w:val="0"/>
          <w:caps w:val="0"/>
          <w:color w:val="333333"/>
          <w:spacing w:val="0"/>
          <w:kern w:val="0"/>
          <w:sz w:val="28"/>
          <w:szCs w:val="28"/>
          <w:lang w:val="en-US" w:eastAsia="zh-CN" w:bidi="ar"/>
        </w:rPr>
      </w:pPr>
      <w:r>
        <w:rPr>
          <w:rFonts w:hint="eastAsia"/>
          <w:lang w:val="en-US" w:eastAsia="zh-CN"/>
        </w:rPr>
        <w:t xml:space="preserve">    </w:t>
      </w:r>
      <w:r>
        <w:rPr>
          <w:rFonts w:hint="eastAsia" w:ascii="仿宋" w:hAnsi="仿宋" w:eastAsia="仿宋" w:cs="仿宋"/>
          <w:i w:val="0"/>
          <w:iCs w:val="0"/>
          <w:caps w:val="0"/>
          <w:color w:val="333333"/>
          <w:spacing w:val="0"/>
          <w:kern w:val="0"/>
          <w:sz w:val="28"/>
          <w:szCs w:val="28"/>
          <w:lang w:val="en-US" w:eastAsia="zh-CN" w:bidi="ar"/>
        </w:rPr>
        <w:t xml:space="preserve"> 无</w:t>
      </w:r>
    </w:p>
    <w:p>
      <w:pPr>
        <w:spacing w:line="240" w:lineRule="auto"/>
      </w:pPr>
    </w:p>
    <w:p>
      <w:pPr>
        <w:spacing w:line="240"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5426D8"/>
    <w:multiLevelType w:val="singleLevel"/>
    <w:tmpl w:val="805426D8"/>
    <w:lvl w:ilvl="0" w:tentative="0">
      <w:start w:val="2"/>
      <w:numFmt w:val="decimal"/>
      <w:suff w:val="nothing"/>
      <w:lvlText w:val="%1、"/>
      <w:lvlJc w:val="left"/>
      <w:pPr>
        <w:ind w:left="-10"/>
      </w:pPr>
    </w:lvl>
  </w:abstractNum>
  <w:abstractNum w:abstractNumId="1">
    <w:nsid w:val="BDFC94D5"/>
    <w:multiLevelType w:val="singleLevel"/>
    <w:tmpl w:val="BDFC94D5"/>
    <w:lvl w:ilvl="0" w:tentative="0">
      <w:start w:val="3"/>
      <w:numFmt w:val="decimal"/>
      <w:suff w:val="nothing"/>
      <w:lvlText w:val="%1、"/>
      <w:lvlJc w:val="left"/>
    </w:lvl>
  </w:abstractNum>
  <w:abstractNum w:abstractNumId="2">
    <w:nsid w:val="6CF45CC0"/>
    <w:multiLevelType w:val="singleLevel"/>
    <w:tmpl w:val="6CF45CC0"/>
    <w:lvl w:ilvl="0" w:tentative="0">
      <w:start w:val="2"/>
      <w:numFmt w:val="decimal"/>
      <w:suff w:val="nothing"/>
      <w:lvlText w:val="%1、"/>
      <w:lvlJc w:val="left"/>
    </w:lvl>
  </w:abstractNum>
  <w:abstractNum w:abstractNumId="3">
    <w:nsid w:val="75459103"/>
    <w:multiLevelType w:val="singleLevel"/>
    <w:tmpl w:val="75459103"/>
    <w:lvl w:ilvl="0" w:tentative="0">
      <w:start w:val="4"/>
      <w:numFmt w:val="chineseCounting"/>
      <w:suff w:val="nothing"/>
      <w:lvlText w:val="%1、"/>
      <w:lvlJc w:val="left"/>
      <w:rPr>
        <w:rFonts w:hint="eastAsia"/>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ZjczODk5NTAxMTRlN2ZjMDU2ODg1MGVmMDNjZjkifQ=="/>
  </w:docVars>
  <w:rsids>
    <w:rsidRoot w:val="079624E6"/>
    <w:rsid w:val="079624E6"/>
    <w:rsid w:val="21A8143A"/>
    <w:rsid w:val="25C57D94"/>
    <w:rsid w:val="32DC1068"/>
    <w:rsid w:val="5FFA4610"/>
    <w:rsid w:val="620D3ABD"/>
    <w:rsid w:val="656C1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99"/>
    <w:pPr>
      <w:spacing w:after="120"/>
      <w:ind w:left="420" w:leftChars="200"/>
    </w:pPr>
  </w:style>
  <w:style w:type="paragraph" w:styleId="4">
    <w:name w:val="Body Text Indent 2"/>
    <w:basedOn w:val="1"/>
    <w:qFormat/>
    <w:uiPriority w:val="0"/>
    <w:pPr>
      <w:spacing w:line="480" w:lineRule="auto"/>
      <w:ind w:left="420" w:leftChars="200"/>
    </w:pPr>
    <w:rPr>
      <w:rFonts w:eastAsia="宋体"/>
      <w:sz w:val="24"/>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无间隔"/>
    <w:qFormat/>
    <w:uiPriority w:val="0"/>
    <w:pPr>
      <w:widowControl w:val="0"/>
      <w:jc w:val="both"/>
    </w:pPr>
    <w:rPr>
      <w:rFonts w:ascii="Calibri" w:hAnsi="Calibri" w:eastAsia="宋体" w:cs="Times New Roman"/>
      <w:kern w:val="2"/>
      <w:sz w:val="21"/>
      <w:szCs w:val="22"/>
      <w:lang w:val="en-US" w:eastAsia="zh-CN" w:bidi="ar-SA"/>
    </w:rPr>
  </w:style>
  <w:style w:type="paragraph" w:styleId="9">
    <w:name w:val="No Spacing"/>
    <w:basedOn w:val="1"/>
    <w:qFormat/>
    <w:uiPriority w:val="99"/>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2122</Words>
  <Characters>2189</Characters>
  <Lines>0</Lines>
  <Paragraphs>0</Paragraphs>
  <TotalTime>3</TotalTime>
  <ScaleCrop>false</ScaleCrop>
  <LinksUpToDate>false</LinksUpToDate>
  <CharactersWithSpaces>2195</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2022-05-20T01:02:00Z</dcterms:created>
  <dc:creator>妖精的手指</dc:creator>
  <cp:lastModifiedBy>妖精的手指</cp:lastModifiedBy>
  <cp:lastPrinted>2022-05-24T01:20:44Z</cp:lastPrinted>
  <dcterms:modified xsi:type="dcterms:W3CDTF">2022-05-24T01:21:07Z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2AF0A21CD9304BB89223BE97B0B82345</vt:lpwstr>
  </property>
</Properties>
</file>